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26-124</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417</w:t>
      </w:r>
    </w:p>
    <w:p>
      <w:pPr>
        <w:spacing w:before="0" w:after="0" w:line="480"/>
        <w:ind w:left="120"/>
        <w:jc w:val="center"/>
      </w:pPr>
      <w:r>
        <w:rPr>
          <w:rFonts w:ascii="Times New Roman" w:hAnsi="Times New Roman"/>
          <w:b w:val="false"/>
          <w:i w:val="false"/>
          <w:color w:val="000000"/>
          <w:sz w:val="24"/>
        </w:rPr>
        <w:t>“Certified Local Government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16, 2026</w:t>
            </w:r>
            <w:r>
              <w:br/>
            </w:r>
            <w:r>
              <w:rPr>
                <w:rFonts w:ascii="Times New Roman" w:hAnsi="Times New Roman"/>
                <w:b w:val="false"/>
                <w:i w:val="false"/>
                <w:color w:val="000000"/>
                <w:sz w:val="14"/>
              </w:rPr>
              <w:t>9 to 9:15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 xml:space="preserve">can be found at </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417 and adopt a new chapter in lieu thereof. This proposed chapter describes the policies and procedures relating to the Certified Local Government program (program).</w:t>
      </w:r>
    </w:p>
    <w:p>
      <w:pPr>
        <w:spacing w:before="0" w:after="0" w:line="480"/>
        <w:ind w:left="120"/>
        <w:jc w:val="both"/>
      </w:pPr>
      <w:r>
        <w:rPr>
          <w:rFonts w:ascii="Times New Roman" w:hAnsi="Times New Roman"/>
          <w:b w:val="false"/>
          <w:i w:val="false"/>
          <w:color w:val="000000"/>
          <w:sz w:val="24"/>
        </w:rPr>
        <w:t>    This proposed chapter will be clearer and more concise throughout. Definitions will be added for clarity. Information about grants to certified local governments has been added to this proposed chapter. Information about the grants is currently in 223—Chapter 35, which is proposed to be rescinded as part of a concurrent rulemaking (</w:t>
      </w:r>
      <w:r>
        <w:rPr>
          <w:rFonts w:ascii="Times New Roman" w:hAnsi="Times New Roman"/>
          <w:b/>
          <w:i w:val="false"/>
          <w:color w:val="000000"/>
          <w:sz w:val="24"/>
        </w:rPr>
        <w:t>RA 26-134</w:t>
      </w:r>
      <w:r>
        <w:rPr>
          <w:rFonts w:ascii="Times New Roman" w:hAnsi="Times New Roman"/>
          <w:b w:val="false"/>
          <w:i w:val="false"/>
          <w:color w:val="000000"/>
          <w:sz w:val="24"/>
        </w:rPr>
        <w:t>, IAB 6/24/26).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Applicants who apply for certification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Applicants who apply for certification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Authority staff time is required to review the certification request that is received from the applicant. Similar costs may be incurred by the applicant to gather materials necessary for the certification request.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program supports the enrichment of local historic preservation programs.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review the certification request that is received from the applicant.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does not have an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proposed rulemaking are necessary for the administration of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Authority did not consider any other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Authority did not consider any other methods.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417</w:t>
      </w:r>
    </w:p>
    <w:p>
      <w:pPr>
        <w:spacing w:before="0" w:after="0" w:line="480"/>
        <w:ind w:left="120"/>
        <w:jc w:val="center"/>
      </w:pPr>
      <w:r>
        <w:rPr>
          <w:rFonts w:ascii="Times New Roman" w:hAnsi="Times New Roman"/>
          <w:b w:val="false"/>
          <w:i w:val="false"/>
          <w:color w:val="000000"/>
          <w:sz w:val="21"/>
        </w:rPr>
        <w:t>CERTIFIED LOCAL GOVERNMENT PROGRAM</w:t>
      </w:r>
    </w:p>
    <w:p>
      <w:pPr>
        <w:spacing w:before="0" w:after="0" w:line="480"/>
        <w:ind w:left="120"/>
        <w:jc w:val="both"/>
      </w:pPr>
      <w:r>
        <w:rPr>
          <w:rFonts w:ascii="Times New Roman" w:hAnsi="Times New Roman"/>
          <w:b/>
          <w:i w:val="false"/>
          <w:color w:val="000000"/>
          <w:sz w:val="24"/>
        </w:rPr>
        <w:t>261—417.1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means the National Historic Preservation Act of 1966, Public Law 89-665, 54 U.S.C. Subtitle 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economic development authority created pursuant to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state national register of historic places committee described in rule </w:t>
      </w:r>
      <w:hyperlink r:id="rId7">
        <w:r>
          <w:rPr>
            <w:rStyle w:val="Hyperlink"/>
            <w:rFonts w:ascii="Times New Roman" w:hAnsi="Times New Roman"/>
            <w:b w:val="false"/>
            <w:i w:val="false"/>
            <w:color w:val="000000"/>
            <w:sz w:val="24"/>
          </w:rPr>
          <w:t>261—412.3</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8">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261—417.2</w:t>
      </w:r>
      <w:r>
        <w:rPr>
          <w:rFonts w:ascii="Times New Roman" w:hAnsi="Times New Roman"/>
          <w:b/>
          <w:i w:val="false"/>
          <w:color w:val="000000"/>
          <w:sz w:val="24"/>
        </w:rPr>
        <w:t xml:space="preserve">(15) </w:t>
      </w:r>
      <w:r>
        <w:rPr>
          <w:rFonts w:ascii="Times New Roman" w:hAnsi="Times New Roman"/>
          <w:b/>
          <w:i w:val="false"/>
          <w:color w:val="000000"/>
          <w:sz w:val="24"/>
        </w:rPr>
        <w:t xml:space="preserve">Regulations. </w:t>
      </w:r>
      <w:r>
        <w:rPr>
          <w:rFonts w:ascii="Times New Roman" w:hAnsi="Times New Roman"/>
          <w:b w:val="false"/>
          <w:i w:val="false"/>
          <w:color w:val="000000"/>
          <w:sz w:val="24"/>
        </w:rPr>
        <w:t xml:space="preserve">The Certified Local Government program (program) shall operate in accordance with the Act, 36 CFR Part 61, and any applicable guidelines or instructions issued by the National Park Service. Certified local governments shall comply with Iowa Code sections </w:t>
      </w:r>
      <w:hyperlink r:id="rId9">
        <w:r>
          <w:rPr>
            <w:rStyle w:val="Hyperlink"/>
            <w:rFonts w:ascii="Times New Roman" w:hAnsi="Times New Roman"/>
            <w:b w:val="false"/>
            <w:i w:val="false"/>
            <w:color w:val="000000"/>
            <w:sz w:val="24"/>
          </w:rPr>
          <w:t>15.445</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15.459</w:t>
        </w:r>
      </w:hyperlink>
      <w:r>
        <w:rPr>
          <w:rFonts w:ascii="Times New Roman" w:hAnsi="Times New Roman"/>
          <w:b w:val="false"/>
          <w:i w:val="false"/>
          <w:color w:val="000000"/>
          <w:sz w:val="24"/>
        </w:rPr>
        <w:t xml:space="preserve"> as applicable.</w:t>
      </w:r>
    </w:p>
    <w:p>
      <w:pPr>
        <w:spacing w:before="0" w:after="0" w:line="480"/>
        <w:ind w:left="120"/>
        <w:jc w:val="both"/>
      </w:pPr>
      <w:r>
        <w:rPr>
          <w:rFonts w:ascii="Times New Roman" w:hAnsi="Times New Roman"/>
          <w:b/>
          <w:i w:val="false"/>
          <w:color w:val="000000"/>
          <w:sz w:val="24"/>
        </w:rPr>
        <w:t>261—417.3</w:t>
      </w:r>
      <w:r>
        <w:rPr>
          <w:rFonts w:ascii="Times New Roman" w:hAnsi="Times New Roman"/>
          <w:b/>
          <w:i w:val="false"/>
          <w:color w:val="000000"/>
          <w:sz w:val="24"/>
        </w:rPr>
        <w:t xml:space="preserve">(15) </w:t>
      </w:r>
      <w:r>
        <w:rPr>
          <w:rFonts w:ascii="Times New Roman" w:hAnsi="Times New Roman"/>
          <w:b/>
          <w:i w:val="false"/>
          <w:color w:val="000000"/>
          <w:sz w:val="24"/>
        </w:rPr>
        <w:t xml:space="preserve">Criteria for certification. </w:t>
      </w:r>
      <w:r>
        <w:rPr>
          <w:rFonts w:ascii="Times New Roman" w:hAnsi="Times New Roman"/>
          <w:b w:val="false"/>
          <w:i w:val="false"/>
          <w:color w:val="000000"/>
          <w:sz w:val="24"/>
        </w:rPr>
        <w:t>Any local government may be certified to participate in the program if the SHPO and the National Park Service certify that the local government meets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417.3(1)</w:t>
      </w:r>
      <w:r>
        <w:rPr>
          <w:rFonts w:ascii="Times New Roman" w:hAnsi="Times New Roman"/>
          <w:b w:val="false"/>
          <w:i w:val="false"/>
          <w:color w:val="000000"/>
          <w:sz w:val="24"/>
        </w:rPr>
        <w:t> </w:t>
      </w:r>
      <w:r>
        <w:rPr>
          <w:rFonts w:ascii="Times New Roman" w:hAnsi="Times New Roman"/>
          <w:b w:val="false"/>
          <w:i w:val="false"/>
          <w:color w:val="000000"/>
          <w:sz w:val="24"/>
        </w:rPr>
        <w:t>Secures appropriate county and municipal ordinances or resolutions for the creation of a local historical commission and the conduct of its historic preservation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417.3(2)</w:t>
      </w:r>
      <w:r>
        <w:rPr>
          <w:rFonts w:ascii="Times New Roman" w:hAnsi="Times New Roman"/>
          <w:b w:val="false"/>
          <w:i w:val="false"/>
          <w:color w:val="000000"/>
          <w:sz w:val="24"/>
        </w:rPr>
        <w:t> </w:t>
      </w:r>
      <w:r>
        <w:rPr>
          <w:rFonts w:ascii="Times New Roman" w:hAnsi="Times New Roman"/>
          <w:b w:val="false"/>
          <w:i w:val="false"/>
          <w:color w:val="000000"/>
          <w:sz w:val="24"/>
        </w:rPr>
        <w:t>Establishes an adequate and qualified historic preservation review commission by state or local legislation;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417.3(3)</w:t>
      </w:r>
      <w:r>
        <w:rPr>
          <w:rFonts w:ascii="Times New Roman" w:hAnsi="Times New Roman"/>
          <w:b w:val="false"/>
          <w:i w:val="false"/>
          <w:color w:val="000000"/>
          <w:sz w:val="24"/>
        </w:rPr>
        <w:t> </w:t>
      </w:r>
      <w:r>
        <w:rPr>
          <w:rFonts w:ascii="Times New Roman" w:hAnsi="Times New Roman"/>
          <w:b w:val="false"/>
          <w:i w:val="false"/>
          <w:color w:val="000000"/>
          <w:sz w:val="24"/>
        </w:rPr>
        <w:t>Maintains a system for the survey and inventory of historic properties that furthers the purposes of historic preservation;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417.3(4)</w:t>
      </w:r>
      <w:r>
        <w:rPr>
          <w:rFonts w:ascii="Times New Roman" w:hAnsi="Times New Roman"/>
          <w:b w:val="false"/>
          <w:i w:val="false"/>
          <w:color w:val="000000"/>
          <w:sz w:val="24"/>
        </w:rPr>
        <w:t> </w:t>
      </w:r>
      <w:r>
        <w:rPr>
          <w:rFonts w:ascii="Times New Roman" w:hAnsi="Times New Roman"/>
          <w:b w:val="false"/>
          <w:i w:val="false"/>
          <w:color w:val="000000"/>
          <w:sz w:val="24"/>
        </w:rPr>
        <w:t>Provides for adequate public participation in the local historic preservation program, including the process of recommending properties for nomination to the National Register of Historic Places;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417.3(5)</w:t>
      </w:r>
      <w:r>
        <w:rPr>
          <w:rFonts w:ascii="Times New Roman" w:hAnsi="Times New Roman"/>
          <w:b w:val="false"/>
          <w:i w:val="false"/>
          <w:color w:val="000000"/>
          <w:sz w:val="24"/>
        </w:rPr>
        <w:t> </w:t>
      </w:r>
      <w:r>
        <w:rPr>
          <w:rFonts w:ascii="Times New Roman" w:hAnsi="Times New Roman"/>
          <w:b w:val="false"/>
          <w:i w:val="false"/>
          <w:color w:val="000000"/>
          <w:sz w:val="24"/>
        </w:rPr>
        <w:t>Satisfactorily performs the responsibilities delegated to it under the Act.</w:t>
      </w:r>
    </w:p>
    <w:p>
      <w:pPr>
        <w:spacing w:before="0" w:after="0" w:line="480"/>
        <w:ind w:left="120"/>
        <w:jc w:val="both"/>
      </w:pPr>
      <w:r>
        <w:rPr>
          <w:rFonts w:ascii="Times New Roman" w:hAnsi="Times New Roman"/>
          <w:b/>
          <w:i w:val="false"/>
          <w:color w:val="000000"/>
          <w:sz w:val="24"/>
        </w:rPr>
        <w:t>261—417.4</w:t>
      </w:r>
      <w:r>
        <w:rPr>
          <w:rFonts w:ascii="Times New Roman" w:hAnsi="Times New Roman"/>
          <w:b/>
          <w:i w:val="false"/>
          <w:color w:val="000000"/>
          <w:sz w:val="24"/>
        </w:rPr>
        <w:t xml:space="preserve">(15) </w:t>
      </w:r>
      <w:r>
        <w:rPr>
          <w:rFonts w:ascii="Times New Roman" w:hAnsi="Times New Roman"/>
          <w:b/>
          <w:i w:val="false"/>
          <w:color w:val="000000"/>
          <w:sz w:val="24"/>
        </w:rPr>
        <w:t xml:space="preserve">Procedure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417.4(1)</w:t>
      </w:r>
      <w:r>
        <w:rPr>
          <w:rFonts w:ascii="Times New Roman" w:hAnsi="Times New Roman"/>
          <w:b w:val="false"/>
          <w:i w:val="false"/>
          <w:color w:val="000000"/>
          <w:sz w:val="24"/>
        </w:rPr>
        <w:t> </w:t>
      </w:r>
      <w:r>
        <w:rPr>
          <w:rFonts w:ascii="Times New Roman" w:hAnsi="Times New Roman"/>
          <w:b w:val="false"/>
          <w:i w:val="false"/>
          <w:color w:val="000000"/>
          <w:sz w:val="24"/>
        </w:rPr>
        <w:t>The applicant will contact the authority for program guidelines and application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417.4(2)</w:t>
      </w:r>
      <w:r>
        <w:rPr>
          <w:rFonts w:ascii="Times New Roman" w:hAnsi="Times New Roman"/>
          <w:b w:val="false"/>
          <w:i w:val="false"/>
          <w:color w:val="000000"/>
          <w:sz w:val="24"/>
        </w:rPr>
        <w:t> </w:t>
      </w:r>
      <w:r>
        <w:rPr>
          <w:rFonts w:ascii="Times New Roman" w:hAnsi="Times New Roman"/>
          <w:b w:val="false"/>
          <w:i w:val="false"/>
          <w:color w:val="000000"/>
          <w:sz w:val="24"/>
        </w:rPr>
        <w:t xml:space="preserve">SHPO staff will review certification requests for completeness and eligibility within 30 days of receipt and advise applicants of the results of the review. If the certification request is deemed unsatisfactory, SHPO staff will advise the applicant and specify the changes that are needed.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417.4(3)</w:t>
      </w:r>
      <w:r>
        <w:rPr>
          <w:rFonts w:ascii="Times New Roman" w:hAnsi="Times New Roman"/>
          <w:b w:val="false"/>
          <w:i w:val="false"/>
          <w:color w:val="000000"/>
          <w:sz w:val="24"/>
        </w:rPr>
        <w:t> </w:t>
      </w:r>
      <w:r>
        <w:rPr>
          <w:rFonts w:ascii="Times New Roman" w:hAnsi="Times New Roman"/>
          <w:b w:val="false"/>
          <w:i w:val="false"/>
          <w:color w:val="000000"/>
          <w:sz w:val="24"/>
        </w:rPr>
        <w:t>When a certification application is accepted, a certification agreement is sent to the local government for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417.4(4)</w:t>
      </w:r>
      <w:r>
        <w:rPr>
          <w:rFonts w:ascii="Times New Roman" w:hAnsi="Times New Roman"/>
          <w:b w:val="false"/>
          <w:i w:val="false"/>
          <w:color w:val="000000"/>
          <w:sz w:val="24"/>
        </w:rPr>
        <w:t> </w:t>
      </w:r>
      <w:r>
        <w:rPr>
          <w:rFonts w:ascii="Times New Roman" w:hAnsi="Times New Roman"/>
          <w:b w:val="false"/>
          <w:i w:val="false"/>
          <w:color w:val="000000"/>
          <w:sz w:val="24"/>
        </w:rPr>
        <w:t>Following execution of the agreement, eligible applications for certification are subject to review and approval by the National Park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417.4(5)</w:t>
      </w:r>
      <w:r>
        <w:rPr>
          <w:rFonts w:ascii="Times New Roman" w:hAnsi="Times New Roman"/>
          <w:b w:val="false"/>
          <w:i w:val="false"/>
          <w:color w:val="000000"/>
          <w:sz w:val="24"/>
        </w:rPr>
        <w:t> </w:t>
      </w:r>
      <w:r>
        <w:rPr>
          <w:rFonts w:ascii="Times New Roman" w:hAnsi="Times New Roman"/>
          <w:b w:val="false"/>
          <w:i w:val="false"/>
          <w:color w:val="000000"/>
          <w:sz w:val="24"/>
        </w:rPr>
        <w:t>Certification may be revoked pursuant to the terms of the certification agreement. A certified local government may also request decertification.</w:t>
      </w:r>
    </w:p>
    <w:p>
      <w:pPr>
        <w:spacing w:before="0" w:after="0" w:line="480"/>
        <w:ind w:left="120"/>
        <w:jc w:val="both"/>
      </w:pPr>
      <w:r>
        <w:rPr>
          <w:rFonts w:ascii="Times New Roman" w:hAnsi="Times New Roman"/>
          <w:b/>
          <w:i w:val="false"/>
          <w:color w:val="000000"/>
          <w:sz w:val="24"/>
        </w:rPr>
        <w:t>261—417.5</w:t>
      </w:r>
      <w:r>
        <w:rPr>
          <w:rFonts w:ascii="Times New Roman" w:hAnsi="Times New Roman"/>
          <w:b/>
          <w:i w:val="false"/>
          <w:color w:val="000000"/>
          <w:sz w:val="24"/>
        </w:rPr>
        <w:t xml:space="preserve">(15) </w:t>
      </w:r>
      <w:r>
        <w:rPr>
          <w:rFonts w:ascii="Times New Roman" w:hAnsi="Times New Roman"/>
          <w:b/>
          <w:i w:val="false"/>
          <w:color w:val="000000"/>
          <w:sz w:val="24"/>
        </w:rPr>
        <w:t xml:space="preserve">Certified local government subgrants.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417.5(1)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certified local governments are eligible to apply for and receive a grant through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SHPO is not required to award funds to all certified local governments.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operate as a competitive grant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Following the awarding of a grant, a contractual agreement specifying the terms of the grant shall be executed between the authority and the grant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417.5(2)</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packets are sent to all eligible applicants at least 45 days prior to each application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applications shall be submitted on the forms provided by the authority. All applications will contain a description of the proposed project; schedule for implementation; the amount of grant funds requested; the amount, kind, and source of local match committed to the project; a budget for the project; written assurance that the applicant shall follow the Secretary of the Interior’s Standards for Archaeology and Historic Preservation; and written assurance that the applicant shall select a principal investigator who meets the Secretary of the Interior’s Professional Qualification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Local match of at least 40 percent of the total project cost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Staff may consult with applicants regarding the development of project proposals.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Staff will review applications for completeness and eligibility. Incomplete or ineligible applications will be returned to the applicant. The applicant may correct and return the application prior to the grant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Program staff will conduct a preliminary review of each application to determine eligibility, completeness, consistency with program purpose, and amount of local match. Applications that do not meet these criteria shall not be considered for funding. Results of the staff review will be transmitted to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date of review of applications by the committee is established by the SHPO. Recommendations from the committee are submitted to the director of the authority for formal approval. Final authority for funding rests with the SHPO.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417.5(3)</w:t>
      </w:r>
      <w:r>
        <w:rPr>
          <w:rFonts w:ascii="Times New Roman" w:hAnsi="Times New Roman"/>
          <w:b w:val="false"/>
          <w:i w:val="false"/>
          <w:color w:val="000000"/>
          <w:sz w:val="24"/>
        </w:rPr>
        <w:t> </w:t>
      </w:r>
      <w:r>
        <w:rPr>
          <w:rFonts w:ascii="Times New Roman" w:hAnsi="Times New Roman"/>
          <w:b w:val="false"/>
          <w:i/>
          <w:color w:val="000000"/>
          <w:sz w:val="24"/>
        </w:rPr>
        <w:t xml:space="preserve">Grant awards.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approved for grants shall enter into a grant agreement with the authority that specifies the terms and conditions of the grant, including the grant amount, project description, matching requirements, and dates for the submission of specified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grant agreement shall be signed by the SHPO and the chief elected local official of the certified local government or authorized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certified local government that has been awarded grant funds determines that the awarded project cannot be completed, staff may recommend alternatives for expenditure of the funds to the SHPO. The decision of the SHPO regarding alternatives for expenditure of the funds shall be final.</w:t>
      </w:r>
    </w:p>
    <w:p>
      <w:pPr>
        <w:spacing w:before="210" w:after="0" w:line="480"/>
        <w:ind w:left="120"/>
        <w:jc w:val="both"/>
      </w:pPr>
      <w:r>
        <w:rPr>
          <w:rFonts w:ascii="Times New Roman" w:hAnsi="Times New Roman"/>
          <w:b/>
          <w:i w:val="false"/>
          <w:color w:val="000000"/>
          <w:sz w:val="24"/>
        </w:rPr>
        <w:t>261—417.6</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Code of Federal Regulations, Secretary of the Interior’s Standards for Archaeology and Historic Preservation, or Secretary of the Interior’s Professional Qualification Standards in this chapter are to the laws as in effect on [effective date of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ac/rule/261.412.3.pdf" Type="http://schemas.openxmlformats.org/officeDocument/2006/relationships/hyperlink" Id="rId7"/>
    <Relationship TargetMode="External" Target="https://www.legis.iowa.gov/docs/ico/chapter/15.121.pdf" Type="http://schemas.openxmlformats.org/officeDocument/2006/relationships/hyperlink" Id="rId8"/>
    <Relationship TargetMode="External" Target="https://www.legis.iowa.gov/docs/ico/chapter/15.445.pdf" Type="http://schemas.openxmlformats.org/officeDocument/2006/relationships/hyperlink" Id="rId9"/>
    <Relationship TargetMode="External" Target="https://www.legis.iowa.gov/docs/ico/chapter/15.459.pdf" Type="http://schemas.openxmlformats.org/officeDocument/2006/relationships/hyperlink" Id="rId10"/>
    <Relationship TargetMode="External" Target="https://www.legis.iowa.gov/docs/ico/chapter/15.12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